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EE" w:rsidRPr="00D678D6" w:rsidRDefault="001268EE" w:rsidP="001268EE">
      <w:pPr>
        <w:pStyle w:val="Heading2"/>
        <w:jc w:val="center"/>
        <w:rPr>
          <w:rFonts w:eastAsia="Times New Roman" w:cs="Arial"/>
          <w:bCs/>
          <w:iCs/>
          <w:szCs w:val="22"/>
        </w:rPr>
      </w:pPr>
      <w:bookmarkStart w:id="0" w:name="_GoBack"/>
      <w:bookmarkEnd w:id="0"/>
      <w:r w:rsidRPr="00D678D6">
        <w:rPr>
          <w:rFonts w:eastAsia="Times New Roman" w:cs="Arial"/>
          <w:szCs w:val="22"/>
        </w:rPr>
        <w:t xml:space="preserve">Appendix </w:t>
      </w:r>
      <w:r>
        <w:rPr>
          <w:rFonts w:eastAsia="Times New Roman" w:cs="Arial"/>
          <w:szCs w:val="22"/>
        </w:rPr>
        <w:t>D</w:t>
      </w:r>
      <w:r w:rsidRPr="00D678D6">
        <w:rPr>
          <w:rFonts w:eastAsia="Times New Roman" w:cs="Arial"/>
          <w:szCs w:val="22"/>
        </w:rPr>
        <w:t xml:space="preserve">: </w:t>
      </w:r>
      <w:r w:rsidRPr="00D678D6">
        <w:rPr>
          <w:rFonts w:eastAsia="Times New Roman" w:cs="Arial"/>
          <w:bCs/>
          <w:iCs/>
          <w:szCs w:val="22"/>
        </w:rPr>
        <w:t>JRJ Beneficiary Service Agreement (Acknowledgment of Benefit)</w:t>
      </w:r>
    </w:p>
    <w:p w:rsidR="001268EE" w:rsidRDefault="001268EE" w:rsidP="001268EE">
      <w:pPr>
        <w:spacing w:after="0"/>
        <w:ind w:left="274" w:right="749"/>
        <w:rPr>
          <w:rFonts w:ascii="Arial" w:hAnsi="Arial" w:cs="Arial"/>
          <w:b/>
          <w:i/>
        </w:rPr>
      </w:pPr>
    </w:p>
    <w:p w:rsidR="001268EE" w:rsidRPr="00D678D6" w:rsidRDefault="001268EE" w:rsidP="001268EE">
      <w:pPr>
        <w:spacing w:after="0"/>
        <w:ind w:left="274" w:right="749"/>
        <w:rPr>
          <w:rFonts w:ascii="Arial" w:hAnsi="Arial" w:cs="Arial"/>
          <w:b/>
          <w:i/>
        </w:rPr>
      </w:pPr>
      <w:r w:rsidRPr="00D678D6">
        <w:rPr>
          <w:rFonts w:ascii="Arial" w:hAnsi="Arial" w:cs="Arial"/>
          <w:b/>
          <w:i/>
        </w:rPr>
        <w:t xml:space="preserve">Note to JRJ State Administering Agencies: the following form should be used </w:t>
      </w:r>
      <w:r w:rsidRPr="00D678D6">
        <w:rPr>
          <w:rFonts w:ascii="Arial" w:hAnsi="Arial" w:cs="Arial"/>
          <w:b/>
          <w:i/>
          <w:u w:val="thick"/>
        </w:rPr>
        <w:t>only</w:t>
      </w:r>
      <w:r w:rsidRPr="00D678D6">
        <w:rPr>
          <w:rFonts w:ascii="Arial" w:hAnsi="Arial" w:cs="Arial"/>
          <w:b/>
          <w:i/>
        </w:rPr>
        <w:t xml:space="preserve"> in cases where a current JRJ beneficiary has not yet fulfilled his/her initial 3-year service obligation, but remains eligible for JRJ benefits. Upon fulfilling his/her initial 3-year service obligation, the JRJ beneficiary may exit the program or, if selected to receive additional JRJ benefits, should execute the JRJSLRP – Secondary Term of </w:t>
      </w:r>
      <w:r>
        <w:rPr>
          <w:rFonts w:ascii="Arial" w:hAnsi="Arial" w:cs="Arial"/>
          <w:b/>
          <w:i/>
        </w:rPr>
        <w:t>Service document (see Appendix D</w:t>
      </w:r>
      <w:r w:rsidRPr="00D678D6">
        <w:rPr>
          <w:rFonts w:ascii="Arial" w:hAnsi="Arial" w:cs="Arial"/>
          <w:b/>
          <w:i/>
        </w:rPr>
        <w:t xml:space="preserve"> above).</w:t>
      </w:r>
    </w:p>
    <w:p w:rsidR="001268EE" w:rsidRPr="00D678D6" w:rsidRDefault="001268EE" w:rsidP="001268EE">
      <w:pPr>
        <w:pStyle w:val="BodyText"/>
        <w:spacing w:before="6"/>
        <w:rPr>
          <w:b/>
          <w:i/>
        </w:rPr>
      </w:pPr>
    </w:p>
    <w:p w:rsidR="001268EE" w:rsidRPr="00D678D6" w:rsidRDefault="001268EE" w:rsidP="001268EE">
      <w:pPr>
        <w:spacing w:before="1"/>
        <w:ind w:left="1707" w:right="1844"/>
        <w:jc w:val="center"/>
        <w:rPr>
          <w:rFonts w:ascii="Arial" w:hAnsi="Arial" w:cs="Arial"/>
          <w:b/>
        </w:rPr>
      </w:pPr>
      <w:r w:rsidRPr="00D678D6">
        <w:rPr>
          <w:rFonts w:ascii="Arial" w:hAnsi="Arial" w:cs="Arial"/>
          <w:b/>
        </w:rPr>
        <w:t>John R. Justice Student Loan Repayment Program (JRJSLRP) Service Agreement</w:t>
      </w:r>
    </w:p>
    <w:p w:rsidR="001268EE" w:rsidRPr="00D678D6" w:rsidRDefault="001268EE" w:rsidP="001268EE">
      <w:pPr>
        <w:ind w:left="2048" w:right="2179"/>
        <w:jc w:val="center"/>
        <w:rPr>
          <w:rFonts w:ascii="Arial" w:hAnsi="Arial" w:cs="Arial"/>
          <w:b/>
        </w:rPr>
      </w:pPr>
      <w:r w:rsidRPr="00D678D6">
        <w:rPr>
          <w:rFonts w:ascii="Arial" w:hAnsi="Arial" w:cs="Arial"/>
          <w:b/>
        </w:rPr>
        <w:t>Acknowledgment of Benefit</w:t>
      </w:r>
    </w:p>
    <w:p w:rsidR="001268EE" w:rsidRPr="00D678D6" w:rsidRDefault="001268EE" w:rsidP="001268EE">
      <w:pPr>
        <w:pStyle w:val="BodyText"/>
        <w:tabs>
          <w:tab w:val="left" w:pos="2298"/>
        </w:tabs>
        <w:spacing w:line="252" w:lineRule="exact"/>
        <w:ind w:left="280"/>
      </w:pPr>
      <w:r w:rsidRPr="00D678D6">
        <w:t>I,</w:t>
      </w:r>
      <w:r w:rsidRPr="00D678D6">
        <w:rPr>
          <w:u w:val="single"/>
        </w:rPr>
        <w:t xml:space="preserve"> </w:t>
      </w:r>
      <w:r w:rsidRPr="00D678D6">
        <w:rPr>
          <w:u w:val="single"/>
        </w:rPr>
        <w:tab/>
      </w:r>
      <w:r w:rsidRPr="00D678D6">
        <w:t>, hereby acknowledge the</w:t>
      </w:r>
      <w:r w:rsidRPr="00D678D6">
        <w:rPr>
          <w:spacing w:val="-10"/>
        </w:rPr>
        <w:t xml:space="preserve"> </w:t>
      </w:r>
      <w:r w:rsidRPr="00D678D6">
        <w:t>following:</w:t>
      </w:r>
    </w:p>
    <w:p w:rsidR="001268EE" w:rsidRPr="00D678D6" w:rsidRDefault="001268EE" w:rsidP="001268EE">
      <w:pPr>
        <w:pStyle w:val="BodyText"/>
        <w:spacing w:line="252" w:lineRule="exact"/>
        <w:ind w:left="461"/>
      </w:pPr>
      <w:r w:rsidRPr="00D678D6">
        <w:t>NAME</w:t>
      </w:r>
    </w:p>
    <w:p w:rsidR="001268EE" w:rsidRPr="00D678D6" w:rsidRDefault="001268EE" w:rsidP="001268EE">
      <w:pPr>
        <w:pStyle w:val="BodyText"/>
      </w:pPr>
    </w:p>
    <w:p w:rsidR="001268EE" w:rsidRPr="00D678D6" w:rsidRDefault="001268EE" w:rsidP="001268EE">
      <w:pPr>
        <w:pStyle w:val="ListParagraph"/>
        <w:widowControl w:val="0"/>
        <w:numPr>
          <w:ilvl w:val="0"/>
          <w:numId w:val="1"/>
        </w:numPr>
        <w:tabs>
          <w:tab w:val="left" w:pos="1000"/>
        </w:tabs>
        <w:autoSpaceDE w:val="0"/>
        <w:autoSpaceDN w:val="0"/>
        <w:spacing w:after="0" w:line="240" w:lineRule="auto"/>
        <w:ind w:right="473"/>
        <w:contextualSpacing w:val="0"/>
        <w:rPr>
          <w:rFonts w:ascii="Arial" w:hAnsi="Arial" w:cs="Arial"/>
        </w:rPr>
      </w:pPr>
      <w:r w:rsidRPr="00D678D6">
        <w:rPr>
          <w:rFonts w:ascii="Arial" w:hAnsi="Arial" w:cs="Arial"/>
        </w:rPr>
        <w:t>I have personally executed a JRJSLRP Service Agreement and the term of obligated public service thereunder (as designated in said Service Agreement) has not yet expired as of the date of execution hereunder.</w:t>
      </w:r>
    </w:p>
    <w:p w:rsidR="001268EE" w:rsidRPr="00D678D6" w:rsidRDefault="001268EE" w:rsidP="001268EE">
      <w:pPr>
        <w:pStyle w:val="BodyText"/>
        <w:spacing w:before="1"/>
      </w:pPr>
    </w:p>
    <w:p w:rsidR="001268EE" w:rsidRPr="00D678D6" w:rsidRDefault="001268EE" w:rsidP="001268EE">
      <w:pPr>
        <w:pStyle w:val="ListParagraph"/>
        <w:widowControl w:val="0"/>
        <w:numPr>
          <w:ilvl w:val="0"/>
          <w:numId w:val="1"/>
        </w:numPr>
        <w:tabs>
          <w:tab w:val="left" w:pos="1000"/>
        </w:tabs>
        <w:autoSpaceDE w:val="0"/>
        <w:autoSpaceDN w:val="0"/>
        <w:spacing w:after="0" w:line="240" w:lineRule="auto"/>
        <w:ind w:right="717"/>
        <w:contextualSpacing w:val="0"/>
        <w:rPr>
          <w:rFonts w:ascii="Arial" w:hAnsi="Arial" w:cs="Arial"/>
        </w:rPr>
      </w:pPr>
      <w:r w:rsidRPr="00D678D6">
        <w:rPr>
          <w:rFonts w:ascii="Arial" w:hAnsi="Arial" w:cs="Arial"/>
        </w:rPr>
        <w:t>Additional JRJSLRP benefit payments have been made on my behalf during the fiscal year in which this document is</w:t>
      </w:r>
      <w:r w:rsidRPr="00D678D6">
        <w:rPr>
          <w:rFonts w:ascii="Arial" w:hAnsi="Arial" w:cs="Arial"/>
          <w:spacing w:val="7"/>
        </w:rPr>
        <w:t xml:space="preserve"> </w:t>
      </w:r>
      <w:r w:rsidRPr="00D678D6">
        <w:rPr>
          <w:rFonts w:ascii="Arial" w:hAnsi="Arial" w:cs="Arial"/>
        </w:rPr>
        <w:t>executed.</w:t>
      </w:r>
    </w:p>
    <w:p w:rsidR="001268EE" w:rsidRPr="00D678D6" w:rsidRDefault="001268EE" w:rsidP="001268EE">
      <w:pPr>
        <w:pStyle w:val="BodyText"/>
        <w:spacing w:before="11"/>
      </w:pPr>
    </w:p>
    <w:p w:rsidR="001268EE" w:rsidRPr="00D678D6" w:rsidRDefault="001268EE" w:rsidP="001268EE">
      <w:pPr>
        <w:pStyle w:val="ListParagraph"/>
        <w:widowControl w:val="0"/>
        <w:numPr>
          <w:ilvl w:val="0"/>
          <w:numId w:val="1"/>
        </w:numPr>
        <w:tabs>
          <w:tab w:val="left" w:pos="1000"/>
        </w:tabs>
        <w:autoSpaceDE w:val="0"/>
        <w:autoSpaceDN w:val="0"/>
        <w:spacing w:after="0" w:line="240" w:lineRule="auto"/>
        <w:ind w:hanging="361"/>
        <w:contextualSpacing w:val="0"/>
        <w:rPr>
          <w:rFonts w:ascii="Arial" w:hAnsi="Arial" w:cs="Arial"/>
        </w:rPr>
      </w:pPr>
      <w:r w:rsidRPr="00D678D6">
        <w:rPr>
          <w:rFonts w:ascii="Arial" w:hAnsi="Arial" w:cs="Arial"/>
        </w:rPr>
        <w:t>I remain bound by the terms of my JRJSLRP Service</w:t>
      </w:r>
      <w:r w:rsidRPr="00D678D6">
        <w:rPr>
          <w:rFonts w:ascii="Arial" w:hAnsi="Arial" w:cs="Arial"/>
          <w:spacing w:val="-23"/>
        </w:rPr>
        <w:t xml:space="preserve"> </w:t>
      </w:r>
      <w:r w:rsidRPr="00D678D6">
        <w:rPr>
          <w:rFonts w:ascii="Arial" w:hAnsi="Arial" w:cs="Arial"/>
        </w:rPr>
        <w:t>Agreement.</w:t>
      </w:r>
    </w:p>
    <w:p w:rsidR="001268EE" w:rsidRPr="00D678D6" w:rsidRDefault="001268EE" w:rsidP="001268EE">
      <w:pPr>
        <w:pStyle w:val="BodyText"/>
      </w:pPr>
    </w:p>
    <w:p w:rsidR="001268EE" w:rsidRPr="00D678D6" w:rsidRDefault="001268EE" w:rsidP="001268EE">
      <w:pPr>
        <w:pStyle w:val="ListParagraph"/>
        <w:widowControl w:val="0"/>
        <w:numPr>
          <w:ilvl w:val="0"/>
          <w:numId w:val="1"/>
        </w:numPr>
        <w:tabs>
          <w:tab w:val="left" w:pos="1000"/>
        </w:tabs>
        <w:autoSpaceDE w:val="0"/>
        <w:autoSpaceDN w:val="0"/>
        <w:spacing w:after="0" w:line="240" w:lineRule="auto"/>
        <w:ind w:right="656"/>
        <w:contextualSpacing w:val="0"/>
        <w:rPr>
          <w:rFonts w:ascii="Arial" w:hAnsi="Arial" w:cs="Arial"/>
        </w:rPr>
      </w:pPr>
      <w:r w:rsidRPr="00D678D6">
        <w:rPr>
          <w:rFonts w:ascii="Arial" w:hAnsi="Arial" w:cs="Arial"/>
        </w:rPr>
        <w:t>At the expiration of my term of obligated public service (as designated in the JRJSLRP Service Agreement to which I am currently subject), I may enter into a separate agreement that will govern the terms and conditions of the receipt of any additional JRJSLRP benefits received on my behalf outside the terms and conditions of the JRJSLRP Service Agreement to which I am now</w:t>
      </w:r>
      <w:r w:rsidRPr="00D678D6">
        <w:rPr>
          <w:rFonts w:ascii="Arial" w:hAnsi="Arial" w:cs="Arial"/>
          <w:spacing w:val="-11"/>
        </w:rPr>
        <w:t xml:space="preserve"> </w:t>
      </w:r>
      <w:r w:rsidRPr="00D678D6">
        <w:rPr>
          <w:rFonts w:ascii="Arial" w:hAnsi="Arial" w:cs="Arial"/>
        </w:rPr>
        <w:t>subject.</w:t>
      </w:r>
    </w:p>
    <w:p w:rsidR="001268EE" w:rsidRPr="00D678D6" w:rsidRDefault="001268EE" w:rsidP="001268EE">
      <w:pPr>
        <w:pStyle w:val="BodyText"/>
        <w:spacing w:before="11"/>
      </w:pPr>
    </w:p>
    <w:p w:rsidR="001268EE" w:rsidRPr="00D678D6" w:rsidRDefault="001268EE" w:rsidP="001268EE">
      <w:pPr>
        <w:spacing w:after="0"/>
        <w:ind w:left="280" w:right="444"/>
        <w:rPr>
          <w:rFonts w:ascii="Arial" w:hAnsi="Arial" w:cs="Arial"/>
          <w:b/>
          <w:i/>
        </w:rPr>
      </w:pPr>
      <w:bookmarkStart w:id="1" w:name="The_Bureau_of_Justice_Assistance_does_no"/>
      <w:bookmarkEnd w:id="1"/>
      <w:r w:rsidRPr="00D678D6">
        <w:rPr>
          <w:rFonts w:ascii="Arial" w:hAnsi="Arial" w:cs="Arial"/>
          <w:b/>
          <w:i/>
        </w:rPr>
        <w:t>The Bureau of Justice Assistance does not provide legal advice on possible tax obligations resulting from receipt of JRJ benefits. The following is provided for informational purposes only. Beneficiaries of JRJ Student Loan Repayment Program benefits remain personally responsible for, and should consult with their tax advisors for advice on, any tax obligations resulting from benefits paid on their behalf.</w:t>
      </w:r>
    </w:p>
    <w:p w:rsidR="001268EE" w:rsidRPr="00D678D6" w:rsidRDefault="001268EE" w:rsidP="001268EE">
      <w:pPr>
        <w:pStyle w:val="BodyText"/>
        <w:rPr>
          <w:b/>
          <w:i/>
        </w:rPr>
      </w:pPr>
    </w:p>
    <w:p w:rsidR="001268EE" w:rsidRPr="00D678D6" w:rsidRDefault="001268EE" w:rsidP="001268EE">
      <w:pPr>
        <w:spacing w:after="0"/>
        <w:ind w:left="279" w:right="710"/>
        <w:rPr>
          <w:rFonts w:ascii="Arial" w:hAnsi="Arial" w:cs="Arial"/>
          <w:i/>
        </w:rPr>
      </w:pPr>
      <w:r w:rsidRPr="00D678D6">
        <w:rPr>
          <w:rFonts w:ascii="Arial" w:hAnsi="Arial" w:cs="Arial"/>
          <w:i/>
        </w:rPr>
        <w:t xml:space="preserve">As a courtesy to JRJ beneficiaries and state administering agencies, BJA has requested information from the Internal Revenue Service (IRS) that may be helpful to beneficiaries and JRJ state administering agencies in determining tax consequences of JRJ benefits. The IRS provided a response to that request; a copy of both the inquiry and response are available on our website at: </w:t>
      </w:r>
      <w:hyperlink r:id="rId5">
        <w:r>
          <w:rPr>
            <w:rFonts w:ascii="Arial" w:hAnsi="Arial" w:cs="Arial"/>
            <w:i/>
            <w:color w:val="0000FF"/>
            <w:u w:val="single" w:color="0000FF"/>
          </w:rPr>
          <w:t>https://bja.ojp.gov/program/john-r-justice-jrj-program/overview?Program_ID=65</w:t>
        </w:r>
      </w:hyperlink>
      <w:r w:rsidRPr="00D678D6">
        <w:rPr>
          <w:rFonts w:ascii="Arial" w:hAnsi="Arial" w:cs="Arial"/>
          <w:i/>
        </w:rPr>
        <w:t>.</w:t>
      </w:r>
    </w:p>
    <w:p w:rsidR="001268EE" w:rsidRPr="00D678D6" w:rsidRDefault="001268EE" w:rsidP="001268EE">
      <w:pPr>
        <w:pStyle w:val="BodyText"/>
        <w:rPr>
          <w:i/>
        </w:rPr>
      </w:pPr>
    </w:p>
    <w:p w:rsidR="001268EE" w:rsidRPr="00D678D6" w:rsidRDefault="001268EE" w:rsidP="001268EE">
      <w:pPr>
        <w:pStyle w:val="BodyText"/>
        <w:rPr>
          <w:i/>
        </w:rPr>
      </w:pPr>
    </w:p>
    <w:p w:rsidR="001268EE" w:rsidRPr="00D678D6" w:rsidRDefault="001268EE" w:rsidP="001268EE">
      <w:pPr>
        <w:pStyle w:val="BodyText"/>
        <w:spacing w:before="5"/>
        <w:rPr>
          <w:i/>
        </w:rPr>
      </w:pPr>
      <w:r w:rsidRPr="00D678D6">
        <w:rPr>
          <w:noProof/>
        </w:rPr>
        <mc:AlternateContent>
          <mc:Choice Requires="wps">
            <w:drawing>
              <wp:anchor distT="0" distB="0" distL="0" distR="0" simplePos="0" relativeHeight="251659264" behindDoc="1" locked="0" layoutInCell="1" allowOverlap="1" wp14:anchorId="16742925" wp14:editId="015B40EB">
                <wp:simplePos x="0" y="0"/>
                <wp:positionH relativeFrom="page">
                  <wp:posOffset>914400</wp:posOffset>
                </wp:positionH>
                <wp:positionV relativeFrom="paragraph">
                  <wp:posOffset>201295</wp:posOffset>
                </wp:positionV>
                <wp:extent cx="229044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0445" cy="1270"/>
                        </a:xfrm>
                        <a:custGeom>
                          <a:avLst/>
                          <a:gdLst>
                            <a:gd name="T0" fmla="+- 0 1440 1440"/>
                            <a:gd name="T1" fmla="*/ T0 w 3607"/>
                            <a:gd name="T2" fmla="+- 0 5047 1440"/>
                            <a:gd name="T3" fmla="*/ T2 w 3607"/>
                          </a:gdLst>
                          <a:ahLst/>
                          <a:cxnLst>
                            <a:cxn ang="0">
                              <a:pos x="T1" y="0"/>
                            </a:cxn>
                            <a:cxn ang="0">
                              <a:pos x="T3" y="0"/>
                            </a:cxn>
                          </a:cxnLst>
                          <a:rect l="0" t="0" r="r" b="b"/>
                          <a:pathLst>
                            <a:path w="3607">
                              <a:moveTo>
                                <a:pt x="0" y="0"/>
                              </a:moveTo>
                              <a:lnTo>
                                <a:pt x="36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90E2" id="Freeform 3" o:spid="_x0000_s1026" style="position:absolute;margin-left:1in;margin-top:15.85pt;width:180.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" path="m,l3607,e" filled="f" strokeweight=".26669mm">
                <v:path arrowok="t" o:connecttype="custom" o:connectlocs="0,0;2290445,0" o:connectangles="0,0"/>
                <w10:wrap type="topAndBottom" anchorx="page"/>
              </v:shape>
            </w:pict>
          </mc:Fallback>
        </mc:AlternateContent>
      </w:r>
      <w:r w:rsidRPr="00D678D6">
        <w:rPr>
          <w:noProof/>
        </w:rPr>
        <mc:AlternateContent>
          <mc:Choice Requires="wps">
            <w:drawing>
              <wp:anchor distT="0" distB="0" distL="0" distR="0" simplePos="0" relativeHeight="251660288" behindDoc="1" locked="0" layoutInCell="1" allowOverlap="1" wp14:anchorId="24D62DFF" wp14:editId="47AF5313">
                <wp:simplePos x="0" y="0"/>
                <wp:positionH relativeFrom="page">
                  <wp:posOffset>3657600</wp:posOffset>
                </wp:positionH>
                <wp:positionV relativeFrom="paragraph">
                  <wp:posOffset>201295</wp:posOffset>
                </wp:positionV>
                <wp:extent cx="169608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6085" cy="1270"/>
                        </a:xfrm>
                        <a:custGeom>
                          <a:avLst/>
                          <a:gdLst>
                            <a:gd name="T0" fmla="+- 0 5760 5760"/>
                            <a:gd name="T1" fmla="*/ T0 w 2671"/>
                            <a:gd name="T2" fmla="+- 0 8431 5760"/>
                            <a:gd name="T3" fmla="*/ T2 w 2671"/>
                          </a:gdLst>
                          <a:ahLst/>
                          <a:cxnLst>
                            <a:cxn ang="0">
                              <a:pos x="T1" y="0"/>
                            </a:cxn>
                            <a:cxn ang="0">
                              <a:pos x="T3" y="0"/>
                            </a:cxn>
                          </a:cxnLst>
                          <a:rect l="0" t="0" r="r" b="b"/>
                          <a:pathLst>
                            <a:path w="2671">
                              <a:moveTo>
                                <a:pt x="0" y="0"/>
                              </a:moveTo>
                              <a:lnTo>
                                <a:pt x="267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6A8B9" id="Freeform 2" o:spid="_x0000_s1026" style="position:absolute;margin-left:4in;margin-top:15.85pt;width:133.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" path="m,l2671,e" filled="f" strokeweight=".26669mm">
                <v:path arrowok="t" o:connecttype="custom" o:connectlocs="0,0;1696085,0" o:connectangles="0,0"/>
                <w10:wrap type="topAndBottom" anchorx="page"/>
              </v:shape>
            </w:pict>
          </mc:Fallback>
        </mc:AlternateContent>
      </w:r>
    </w:p>
    <w:p w:rsidR="001268EE" w:rsidRDefault="001268EE" w:rsidP="001268EE">
      <w:pPr>
        <w:pStyle w:val="Heading3"/>
        <w:tabs>
          <w:tab w:val="left" w:pos="5320"/>
        </w:tabs>
        <w:spacing w:before="120" w:line="201" w:lineRule="exact"/>
        <w:ind w:left="274"/>
      </w:pPr>
      <w:bookmarkStart w:id="2" w:name="SIGNATURE_DATE"/>
      <w:bookmarkEnd w:id="2"/>
      <w:r w:rsidRPr="00E930A6">
        <w:rPr>
          <w:rFonts w:ascii="Arial" w:hAnsi="Arial" w:cs="Arial"/>
          <w:b/>
          <w:color w:val="auto"/>
          <w:sz w:val="22"/>
          <w:szCs w:val="22"/>
        </w:rPr>
        <w:t>SIGNATURE</w:t>
      </w:r>
      <w:r w:rsidRPr="00E930A6">
        <w:rPr>
          <w:rFonts w:ascii="Arial" w:hAnsi="Arial" w:cs="Arial"/>
          <w:b/>
          <w:color w:val="auto"/>
          <w:sz w:val="22"/>
          <w:szCs w:val="22"/>
        </w:rPr>
        <w:tab/>
        <w:t>DATE</w:t>
      </w:r>
    </w:p>
    <w:p w:rsidR="00BC20BC" w:rsidRDefault="005B644D"/>
    <w:sectPr w:rsidR="00BC20BC" w:rsidSect="001268E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37E68"/>
    <w:multiLevelType w:val="hybridMultilevel"/>
    <w:tmpl w:val="42C62038"/>
    <w:lvl w:ilvl="0" w:tplc="543C1B4A">
      <w:start w:val="1"/>
      <w:numFmt w:val="decimal"/>
      <w:lvlText w:val="%1."/>
      <w:lvlJc w:val="left"/>
      <w:pPr>
        <w:ind w:left="999" w:hanging="360"/>
      </w:pPr>
      <w:rPr>
        <w:rFonts w:ascii="Arial" w:eastAsia="Arial" w:hAnsi="Arial" w:cs="Arial" w:hint="default"/>
        <w:spacing w:val="-1"/>
        <w:w w:val="100"/>
        <w:sz w:val="22"/>
        <w:szCs w:val="22"/>
        <w:lang w:val="en-US" w:eastAsia="en-US" w:bidi="ar-SA"/>
      </w:rPr>
    </w:lvl>
    <w:lvl w:ilvl="1" w:tplc="2E82941A">
      <w:numFmt w:val="bullet"/>
      <w:lvlText w:val="•"/>
      <w:lvlJc w:val="left"/>
      <w:pPr>
        <w:ind w:left="1906" w:hanging="360"/>
      </w:pPr>
      <w:rPr>
        <w:rFonts w:hint="default"/>
        <w:lang w:val="en-US" w:eastAsia="en-US" w:bidi="ar-SA"/>
      </w:rPr>
    </w:lvl>
    <w:lvl w:ilvl="2" w:tplc="4A9E00F6">
      <w:numFmt w:val="bullet"/>
      <w:lvlText w:val="•"/>
      <w:lvlJc w:val="left"/>
      <w:pPr>
        <w:ind w:left="2812" w:hanging="360"/>
      </w:pPr>
      <w:rPr>
        <w:rFonts w:hint="default"/>
        <w:lang w:val="en-US" w:eastAsia="en-US" w:bidi="ar-SA"/>
      </w:rPr>
    </w:lvl>
    <w:lvl w:ilvl="3" w:tplc="30F6A214">
      <w:numFmt w:val="bullet"/>
      <w:lvlText w:val="•"/>
      <w:lvlJc w:val="left"/>
      <w:pPr>
        <w:ind w:left="3718" w:hanging="360"/>
      </w:pPr>
      <w:rPr>
        <w:rFonts w:hint="default"/>
        <w:lang w:val="en-US" w:eastAsia="en-US" w:bidi="ar-SA"/>
      </w:rPr>
    </w:lvl>
    <w:lvl w:ilvl="4" w:tplc="55B67A0A">
      <w:numFmt w:val="bullet"/>
      <w:lvlText w:val="•"/>
      <w:lvlJc w:val="left"/>
      <w:pPr>
        <w:ind w:left="4624" w:hanging="360"/>
      </w:pPr>
      <w:rPr>
        <w:rFonts w:hint="default"/>
        <w:lang w:val="en-US" w:eastAsia="en-US" w:bidi="ar-SA"/>
      </w:rPr>
    </w:lvl>
    <w:lvl w:ilvl="5" w:tplc="445627B4">
      <w:numFmt w:val="bullet"/>
      <w:lvlText w:val="•"/>
      <w:lvlJc w:val="left"/>
      <w:pPr>
        <w:ind w:left="5530" w:hanging="360"/>
      </w:pPr>
      <w:rPr>
        <w:rFonts w:hint="default"/>
        <w:lang w:val="en-US" w:eastAsia="en-US" w:bidi="ar-SA"/>
      </w:rPr>
    </w:lvl>
    <w:lvl w:ilvl="6" w:tplc="70503A3E">
      <w:numFmt w:val="bullet"/>
      <w:lvlText w:val="•"/>
      <w:lvlJc w:val="left"/>
      <w:pPr>
        <w:ind w:left="6436" w:hanging="360"/>
      </w:pPr>
      <w:rPr>
        <w:rFonts w:hint="default"/>
        <w:lang w:val="en-US" w:eastAsia="en-US" w:bidi="ar-SA"/>
      </w:rPr>
    </w:lvl>
    <w:lvl w:ilvl="7" w:tplc="DB6C7368">
      <w:numFmt w:val="bullet"/>
      <w:lvlText w:val="•"/>
      <w:lvlJc w:val="left"/>
      <w:pPr>
        <w:ind w:left="7342" w:hanging="360"/>
      </w:pPr>
      <w:rPr>
        <w:rFonts w:hint="default"/>
        <w:lang w:val="en-US" w:eastAsia="en-US" w:bidi="ar-SA"/>
      </w:rPr>
    </w:lvl>
    <w:lvl w:ilvl="8" w:tplc="C70A73DC">
      <w:numFmt w:val="bullet"/>
      <w:lvlText w:val="•"/>
      <w:lvlJc w:val="left"/>
      <w:pPr>
        <w:ind w:left="82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EE"/>
    <w:rsid w:val="001268EE"/>
    <w:rsid w:val="005B644D"/>
    <w:rsid w:val="0096213F"/>
    <w:rsid w:val="009D724C"/>
    <w:rsid w:val="00D7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9FFA9-2D92-4A52-BB0A-E47DDB08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EE"/>
  </w:style>
  <w:style w:type="paragraph" w:styleId="Heading2">
    <w:name w:val="heading 2"/>
    <w:aliases w:val="Template Subhead"/>
    <w:basedOn w:val="Normal"/>
    <w:next w:val="Normal"/>
    <w:link w:val="Heading2Char"/>
    <w:uiPriority w:val="9"/>
    <w:unhideWhenUsed/>
    <w:qFormat/>
    <w:rsid w:val="001268EE"/>
    <w:pPr>
      <w:keepNext/>
      <w:keepLines/>
      <w:spacing w:before="40" w:after="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1268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emplate Subhead Char"/>
    <w:basedOn w:val="DefaultParagraphFont"/>
    <w:link w:val="Heading2"/>
    <w:uiPriority w:val="9"/>
    <w:rsid w:val="001268EE"/>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rsid w:val="001268EE"/>
    <w:rPr>
      <w:rFonts w:asciiTheme="majorHAnsi" w:eastAsiaTheme="majorEastAsia" w:hAnsiTheme="majorHAnsi" w:cstheme="majorBidi"/>
      <w:color w:val="1F3763" w:themeColor="accent1" w:themeShade="7F"/>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1268EE"/>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1"/>
    <w:locked/>
    <w:rsid w:val="001268EE"/>
  </w:style>
  <w:style w:type="paragraph" w:styleId="BodyText">
    <w:name w:val="Body Text"/>
    <w:basedOn w:val="Normal"/>
    <w:link w:val="BodyTextChar"/>
    <w:uiPriority w:val="1"/>
    <w:qFormat/>
    <w:rsid w:val="001268EE"/>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268E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ja.ojp.gov/program/john-r-justice-jrj-program/overview?Program_ID=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2076</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Meeley, Kathryn</dc:creator>
  <cp:keywords/>
  <dc:description/>
  <cp:lastModifiedBy>Meeley, Kathryn</cp:lastModifiedBy>
  <cp:revision>2</cp:revision>
  <dcterms:created xsi:type="dcterms:W3CDTF">2020-12-17T18:54:00Z</dcterms:created>
  <dcterms:modified xsi:type="dcterms:W3CDTF">2020-12-17T18:54:00Z</dcterms:modified>
</cp:coreProperties>
</file>